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FE" w:rsidRPr="006A46BD" w:rsidRDefault="00710F7C" w:rsidP="00710F7C">
      <w:pPr>
        <w:pStyle w:val="Heading1"/>
        <w:pBdr>
          <w:bottom w:val="single" w:sz="4" w:space="1" w:color="auto"/>
        </w:pBdr>
      </w:pPr>
      <w:bookmarkStart w:id="0" w:name="_GoBack"/>
      <w:bookmarkEnd w:id="0"/>
      <w:r>
        <w:rPr>
          <w:noProof/>
        </w:rPr>
        <w:drawing>
          <wp:inline distT="0" distB="0" distL="0" distR="0" wp14:anchorId="49E09896" wp14:editId="484A8CA1">
            <wp:extent cx="1680117" cy="6640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A ESP Group Logo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0328" cy="664156"/>
                    </a:xfrm>
                    <a:prstGeom prst="rect">
                      <a:avLst/>
                    </a:prstGeom>
                  </pic:spPr>
                </pic:pic>
              </a:graphicData>
            </a:graphic>
          </wp:inline>
        </w:drawing>
      </w:r>
      <w:r w:rsidR="00196BFE" w:rsidRPr="00890FFC">
        <w:t xml:space="preserve"> </w:t>
      </w:r>
      <w:r>
        <w:tab/>
      </w:r>
      <w:r>
        <w:tab/>
      </w:r>
      <w:r w:rsidR="00196BFE" w:rsidRPr="00890FFC">
        <w:t>ESP</w:t>
      </w:r>
      <w:r w:rsidR="006A46BD">
        <w:t xml:space="preserve"> </w:t>
      </w:r>
      <w:r w:rsidR="009C02AE">
        <w:t xml:space="preserve">Voice and </w:t>
      </w:r>
      <w:r w:rsidR="006A46BD">
        <w:t>Opportunity</w:t>
      </w:r>
      <w:r w:rsidR="00F758D7">
        <w:t xml:space="preserve"> in ESSA</w:t>
      </w:r>
    </w:p>
    <w:p w:rsidR="0063141C" w:rsidRDefault="0063141C">
      <w:pPr>
        <w:rPr>
          <w:sz w:val="24"/>
          <w:szCs w:val="24"/>
        </w:rPr>
      </w:pPr>
    </w:p>
    <w:p w:rsidR="00CE3CFE" w:rsidRDefault="00890FFC">
      <w:pPr>
        <w:rPr>
          <w:sz w:val="24"/>
          <w:szCs w:val="24"/>
        </w:rPr>
      </w:pPr>
      <w:r>
        <w:rPr>
          <w:sz w:val="24"/>
          <w:szCs w:val="24"/>
        </w:rPr>
        <w:t>The Every Student Succeeds Act (</w:t>
      </w:r>
      <w:r w:rsidR="00CE3CFE">
        <w:rPr>
          <w:sz w:val="24"/>
          <w:szCs w:val="24"/>
        </w:rPr>
        <w:t>ESSA</w:t>
      </w:r>
      <w:r>
        <w:rPr>
          <w:sz w:val="24"/>
          <w:szCs w:val="24"/>
        </w:rPr>
        <w:t>)</w:t>
      </w:r>
      <w:r w:rsidR="00CE3CFE">
        <w:rPr>
          <w:sz w:val="24"/>
          <w:szCs w:val="24"/>
        </w:rPr>
        <w:t xml:space="preserve"> gives paraeducators</w:t>
      </w:r>
      <w:r w:rsidR="001F1C5F">
        <w:rPr>
          <w:sz w:val="24"/>
          <w:szCs w:val="24"/>
        </w:rPr>
        <w:t>, referred to as “paraprofessionals” in the bill,</w:t>
      </w:r>
      <w:r w:rsidR="00FC30F5">
        <w:rPr>
          <w:sz w:val="24"/>
          <w:szCs w:val="24"/>
        </w:rPr>
        <w:t xml:space="preserve"> and “other staff”</w:t>
      </w:r>
      <w:r w:rsidR="00CE3CFE">
        <w:rPr>
          <w:sz w:val="24"/>
          <w:szCs w:val="24"/>
        </w:rPr>
        <w:t xml:space="preserve"> a voice in key decision making</w:t>
      </w:r>
      <w:r w:rsidR="00481846">
        <w:rPr>
          <w:sz w:val="24"/>
          <w:szCs w:val="24"/>
        </w:rPr>
        <w:t xml:space="preserve"> and professional development opportunities</w:t>
      </w:r>
      <w:r w:rsidR="00FC30F5">
        <w:rPr>
          <w:sz w:val="24"/>
          <w:szCs w:val="24"/>
        </w:rPr>
        <w:t xml:space="preserve">. </w:t>
      </w:r>
      <w:r w:rsidR="00481846">
        <w:rPr>
          <w:sz w:val="24"/>
          <w:szCs w:val="24"/>
        </w:rPr>
        <w:t>In keeping with the Whole Student model of education, advocates can make a case that in sections where “other s</w:t>
      </w:r>
      <w:r>
        <w:rPr>
          <w:sz w:val="24"/>
          <w:szCs w:val="24"/>
        </w:rPr>
        <w:t>taff” or “appropriate staff” is</w:t>
      </w:r>
      <w:r w:rsidR="00481846">
        <w:rPr>
          <w:sz w:val="24"/>
          <w:szCs w:val="24"/>
        </w:rPr>
        <w:t xml:space="preserve"> referenced, </w:t>
      </w:r>
      <w:r w:rsidR="007B7417">
        <w:rPr>
          <w:sz w:val="24"/>
          <w:szCs w:val="24"/>
        </w:rPr>
        <w:t>other education support professionals (</w:t>
      </w:r>
      <w:r w:rsidR="00481846">
        <w:rPr>
          <w:sz w:val="24"/>
          <w:szCs w:val="24"/>
        </w:rPr>
        <w:t>ESP</w:t>
      </w:r>
      <w:r w:rsidR="007B7417">
        <w:rPr>
          <w:sz w:val="24"/>
          <w:szCs w:val="24"/>
        </w:rPr>
        <w:t>)</w:t>
      </w:r>
      <w:r w:rsidR="00481846">
        <w:rPr>
          <w:sz w:val="24"/>
          <w:szCs w:val="24"/>
        </w:rPr>
        <w:t xml:space="preserve"> in addition to paraeducators should be given consideration.</w:t>
      </w:r>
    </w:p>
    <w:p w:rsidR="0063141C" w:rsidRDefault="0063141C">
      <w:pPr>
        <w:rPr>
          <w:b/>
          <w:sz w:val="24"/>
          <w:szCs w:val="24"/>
        </w:rPr>
      </w:pPr>
    </w:p>
    <w:p w:rsidR="00481846" w:rsidRPr="00710F7C" w:rsidRDefault="00481846">
      <w:pPr>
        <w:rPr>
          <w:b/>
          <w:sz w:val="24"/>
          <w:szCs w:val="24"/>
        </w:rPr>
      </w:pPr>
      <w:r w:rsidRPr="00710F7C">
        <w:rPr>
          <w:b/>
          <w:sz w:val="24"/>
          <w:szCs w:val="24"/>
        </w:rPr>
        <w:t>Decision Making</w:t>
      </w:r>
      <w:r w:rsidR="00F752D6" w:rsidRPr="00710F7C">
        <w:rPr>
          <w:b/>
          <w:sz w:val="24"/>
          <w:szCs w:val="24"/>
        </w:rPr>
        <w:t>:</w:t>
      </w:r>
    </w:p>
    <w:p w:rsidR="00CE3CFE" w:rsidRDefault="005A7300" w:rsidP="00CE3CFE">
      <w:pPr>
        <w:pStyle w:val="ListParagraph"/>
        <w:numPr>
          <w:ilvl w:val="0"/>
          <w:numId w:val="1"/>
        </w:numPr>
        <w:rPr>
          <w:sz w:val="24"/>
          <w:szCs w:val="24"/>
        </w:rPr>
      </w:pPr>
      <w:r>
        <w:rPr>
          <w:sz w:val="24"/>
          <w:szCs w:val="24"/>
        </w:rPr>
        <w:t xml:space="preserve">A </w:t>
      </w:r>
      <w:r w:rsidR="00CE3CFE">
        <w:rPr>
          <w:sz w:val="24"/>
          <w:szCs w:val="24"/>
        </w:rPr>
        <w:t xml:space="preserve">state department of education must consult with </w:t>
      </w:r>
      <w:r w:rsidR="00C810A6">
        <w:rPr>
          <w:sz w:val="24"/>
          <w:szCs w:val="24"/>
        </w:rPr>
        <w:t>a number of education stakeh</w:t>
      </w:r>
      <w:r w:rsidR="00FC30F5">
        <w:rPr>
          <w:sz w:val="24"/>
          <w:szCs w:val="24"/>
        </w:rPr>
        <w:t>olders, including pa</w:t>
      </w:r>
      <w:r>
        <w:rPr>
          <w:sz w:val="24"/>
          <w:szCs w:val="24"/>
        </w:rPr>
        <w:t>raprofessionals and other staff when developing the State Plan to receive Title I funds.</w:t>
      </w:r>
    </w:p>
    <w:p w:rsidR="00C810A6" w:rsidRDefault="008B2838" w:rsidP="00CE3CFE">
      <w:pPr>
        <w:pStyle w:val="ListParagraph"/>
        <w:numPr>
          <w:ilvl w:val="0"/>
          <w:numId w:val="1"/>
        </w:numPr>
        <w:rPr>
          <w:sz w:val="24"/>
          <w:szCs w:val="24"/>
        </w:rPr>
      </w:pPr>
      <w:r>
        <w:rPr>
          <w:sz w:val="24"/>
          <w:szCs w:val="24"/>
        </w:rPr>
        <w:t>A school</w:t>
      </w:r>
      <w:r w:rsidR="00C810A6">
        <w:rPr>
          <w:sz w:val="24"/>
          <w:szCs w:val="24"/>
        </w:rPr>
        <w:t xml:space="preserve"> district must engage in “timely and meaningful consultation” with education stakehol</w:t>
      </w:r>
      <w:r w:rsidR="00500596">
        <w:rPr>
          <w:sz w:val="24"/>
          <w:szCs w:val="24"/>
        </w:rPr>
        <w:t>ders that include “paraprofessionals” and “</w:t>
      </w:r>
      <w:r w:rsidR="00500596" w:rsidRPr="00500596">
        <w:rPr>
          <w:sz w:val="24"/>
          <w:szCs w:val="24"/>
        </w:rPr>
        <w:t>other appropriate school personnel</w:t>
      </w:r>
      <w:r>
        <w:rPr>
          <w:sz w:val="24"/>
          <w:szCs w:val="24"/>
        </w:rPr>
        <w:t>”</w:t>
      </w:r>
      <w:r w:rsidRPr="008B2838">
        <w:rPr>
          <w:sz w:val="24"/>
          <w:szCs w:val="24"/>
        </w:rPr>
        <w:t xml:space="preserve"> </w:t>
      </w:r>
      <w:r>
        <w:rPr>
          <w:sz w:val="24"/>
          <w:szCs w:val="24"/>
        </w:rPr>
        <w:t>in the development of a Local Plan to receive Title I funds</w:t>
      </w:r>
      <w:r w:rsidR="007B7417">
        <w:rPr>
          <w:sz w:val="24"/>
          <w:szCs w:val="24"/>
        </w:rPr>
        <w:t>.</w:t>
      </w:r>
      <w:r>
        <w:rPr>
          <w:sz w:val="24"/>
          <w:szCs w:val="24"/>
        </w:rPr>
        <w:t xml:space="preserve"> </w:t>
      </w:r>
    </w:p>
    <w:p w:rsidR="00C810A6" w:rsidRDefault="00F752D6" w:rsidP="00CE3CFE">
      <w:pPr>
        <w:pStyle w:val="ListParagraph"/>
        <w:numPr>
          <w:ilvl w:val="0"/>
          <w:numId w:val="1"/>
        </w:numPr>
        <w:rPr>
          <w:sz w:val="24"/>
          <w:szCs w:val="24"/>
        </w:rPr>
      </w:pPr>
      <w:r>
        <w:rPr>
          <w:sz w:val="24"/>
          <w:szCs w:val="24"/>
        </w:rPr>
        <w:t>In</w:t>
      </w:r>
      <w:r w:rsidR="00E84B8F">
        <w:rPr>
          <w:sz w:val="24"/>
          <w:szCs w:val="24"/>
        </w:rPr>
        <w:t xml:space="preserve"> Title I</w:t>
      </w:r>
      <w:r w:rsidR="008B2838">
        <w:rPr>
          <w:sz w:val="24"/>
          <w:szCs w:val="24"/>
        </w:rPr>
        <w:t>, a</w:t>
      </w:r>
      <w:r>
        <w:rPr>
          <w:sz w:val="24"/>
          <w:szCs w:val="24"/>
        </w:rPr>
        <w:t xml:space="preserve"> Local Plan</w:t>
      </w:r>
      <w:r w:rsidR="008B2838">
        <w:rPr>
          <w:sz w:val="24"/>
          <w:szCs w:val="24"/>
        </w:rPr>
        <w:t xml:space="preserve"> must have a</w:t>
      </w:r>
      <w:r>
        <w:rPr>
          <w:sz w:val="24"/>
          <w:szCs w:val="24"/>
        </w:rPr>
        <w:t xml:space="preserve"> description of </w:t>
      </w:r>
      <w:r w:rsidR="00C810A6">
        <w:rPr>
          <w:sz w:val="24"/>
          <w:szCs w:val="24"/>
        </w:rPr>
        <w:t>how e</w:t>
      </w:r>
      <w:r w:rsidR="005A7300">
        <w:rPr>
          <w:sz w:val="24"/>
          <w:szCs w:val="24"/>
        </w:rPr>
        <w:t>ducators, including paraprofes</w:t>
      </w:r>
      <w:r w:rsidR="00C810A6">
        <w:rPr>
          <w:sz w:val="24"/>
          <w:szCs w:val="24"/>
        </w:rPr>
        <w:t>s</w:t>
      </w:r>
      <w:r w:rsidR="005A7300">
        <w:rPr>
          <w:sz w:val="24"/>
          <w:szCs w:val="24"/>
        </w:rPr>
        <w:t>ionals</w:t>
      </w:r>
      <w:r w:rsidR="00C810A6">
        <w:rPr>
          <w:sz w:val="24"/>
          <w:szCs w:val="24"/>
        </w:rPr>
        <w:t xml:space="preserve">, working in a targeted assistance </w:t>
      </w:r>
      <w:r w:rsidR="00297D4A">
        <w:rPr>
          <w:sz w:val="24"/>
          <w:szCs w:val="24"/>
        </w:rPr>
        <w:t>school program will identify eligible children most in need of services.</w:t>
      </w:r>
    </w:p>
    <w:p w:rsidR="00297D4A" w:rsidRDefault="008B2838" w:rsidP="00CE3CFE">
      <w:pPr>
        <w:pStyle w:val="ListParagraph"/>
        <w:numPr>
          <w:ilvl w:val="0"/>
          <w:numId w:val="1"/>
        </w:numPr>
        <w:rPr>
          <w:sz w:val="24"/>
          <w:szCs w:val="24"/>
        </w:rPr>
      </w:pPr>
      <w:r>
        <w:rPr>
          <w:sz w:val="24"/>
          <w:szCs w:val="24"/>
        </w:rPr>
        <w:t>A</w:t>
      </w:r>
      <w:r w:rsidR="00E84B8F">
        <w:rPr>
          <w:sz w:val="24"/>
          <w:szCs w:val="24"/>
        </w:rPr>
        <w:t xml:space="preserve"> Title I</w:t>
      </w:r>
      <w:r w:rsidR="00652A71">
        <w:rPr>
          <w:sz w:val="24"/>
          <w:szCs w:val="24"/>
        </w:rPr>
        <w:t xml:space="preserve"> Schoolw</w:t>
      </w:r>
      <w:r w:rsidR="00297D4A">
        <w:rPr>
          <w:sz w:val="24"/>
          <w:szCs w:val="24"/>
        </w:rPr>
        <w:t>ide</w:t>
      </w:r>
      <w:r w:rsidR="00CD0EC2">
        <w:rPr>
          <w:sz w:val="24"/>
          <w:szCs w:val="24"/>
        </w:rPr>
        <w:t xml:space="preserve"> Program Plan</w:t>
      </w:r>
      <w:r>
        <w:rPr>
          <w:sz w:val="24"/>
          <w:szCs w:val="24"/>
        </w:rPr>
        <w:t xml:space="preserve"> must be </w:t>
      </w:r>
      <w:r w:rsidR="0090156E">
        <w:rPr>
          <w:sz w:val="24"/>
          <w:szCs w:val="24"/>
        </w:rPr>
        <w:t xml:space="preserve">created </w:t>
      </w:r>
      <w:r w:rsidR="00297D4A">
        <w:rPr>
          <w:sz w:val="24"/>
          <w:szCs w:val="24"/>
        </w:rPr>
        <w:t>with educator consul</w:t>
      </w:r>
      <w:r w:rsidR="00500596">
        <w:rPr>
          <w:sz w:val="24"/>
          <w:szCs w:val="24"/>
        </w:rPr>
        <w:t>tation, including “</w:t>
      </w:r>
      <w:r w:rsidR="00500596" w:rsidRPr="00500596">
        <w:rPr>
          <w:sz w:val="24"/>
          <w:szCs w:val="24"/>
        </w:rPr>
        <w:t>paraprofessionals present in the school</w:t>
      </w:r>
      <w:r w:rsidR="00500596">
        <w:rPr>
          <w:sz w:val="24"/>
          <w:szCs w:val="24"/>
        </w:rPr>
        <w:t xml:space="preserve">” and </w:t>
      </w:r>
      <w:r w:rsidR="00CD0EC2">
        <w:rPr>
          <w:sz w:val="24"/>
          <w:szCs w:val="24"/>
        </w:rPr>
        <w:t>“school staff”.</w:t>
      </w:r>
    </w:p>
    <w:p w:rsidR="0045156E" w:rsidRDefault="007B7417" w:rsidP="00CE3CFE">
      <w:pPr>
        <w:pStyle w:val="ListParagraph"/>
        <w:numPr>
          <w:ilvl w:val="0"/>
          <w:numId w:val="1"/>
        </w:numPr>
        <w:rPr>
          <w:sz w:val="24"/>
          <w:szCs w:val="24"/>
        </w:rPr>
      </w:pPr>
      <w:r>
        <w:rPr>
          <w:sz w:val="24"/>
          <w:szCs w:val="24"/>
        </w:rPr>
        <w:t>S</w:t>
      </w:r>
      <w:r w:rsidR="0045156E">
        <w:rPr>
          <w:sz w:val="24"/>
          <w:szCs w:val="24"/>
        </w:rPr>
        <w:t>tate committ</w:t>
      </w:r>
      <w:r w:rsidR="008B2838">
        <w:rPr>
          <w:sz w:val="24"/>
          <w:szCs w:val="24"/>
        </w:rPr>
        <w:t>ees of p</w:t>
      </w:r>
      <w:r w:rsidR="00BD6EF8">
        <w:rPr>
          <w:sz w:val="24"/>
          <w:szCs w:val="24"/>
        </w:rPr>
        <w:t xml:space="preserve">ractitioners must now include </w:t>
      </w:r>
      <w:r w:rsidR="008B2838">
        <w:rPr>
          <w:sz w:val="24"/>
          <w:szCs w:val="24"/>
        </w:rPr>
        <w:t>paraprofessional</w:t>
      </w:r>
      <w:r w:rsidR="00BD6EF8">
        <w:rPr>
          <w:sz w:val="24"/>
          <w:szCs w:val="24"/>
        </w:rPr>
        <w:t>s</w:t>
      </w:r>
      <w:r w:rsidR="008B2838">
        <w:rPr>
          <w:sz w:val="24"/>
          <w:szCs w:val="24"/>
        </w:rPr>
        <w:t>.</w:t>
      </w:r>
    </w:p>
    <w:p w:rsidR="00957F8D" w:rsidRDefault="008B2838" w:rsidP="00CE3CFE">
      <w:pPr>
        <w:pStyle w:val="ListParagraph"/>
        <w:numPr>
          <w:ilvl w:val="0"/>
          <w:numId w:val="1"/>
        </w:numPr>
        <w:rPr>
          <w:sz w:val="24"/>
          <w:szCs w:val="24"/>
        </w:rPr>
      </w:pPr>
      <w:r>
        <w:rPr>
          <w:sz w:val="24"/>
          <w:szCs w:val="24"/>
        </w:rPr>
        <w:t xml:space="preserve">The Title II Part A application for formula grants to improve instruction must be </w:t>
      </w:r>
      <w:r w:rsidR="0090156E">
        <w:rPr>
          <w:sz w:val="24"/>
          <w:szCs w:val="24"/>
        </w:rPr>
        <w:t>drafted with the</w:t>
      </w:r>
      <w:r w:rsidR="00F752D6">
        <w:rPr>
          <w:sz w:val="24"/>
          <w:szCs w:val="24"/>
        </w:rPr>
        <w:t xml:space="preserve"> consultation of stakeholders, including paraprofessionals and the org</w:t>
      </w:r>
      <w:r>
        <w:rPr>
          <w:sz w:val="24"/>
          <w:szCs w:val="24"/>
        </w:rPr>
        <w:t>anization</w:t>
      </w:r>
      <w:r w:rsidR="007B7417">
        <w:rPr>
          <w:sz w:val="24"/>
          <w:szCs w:val="24"/>
        </w:rPr>
        <w:t>s</w:t>
      </w:r>
      <w:r>
        <w:rPr>
          <w:sz w:val="24"/>
          <w:szCs w:val="24"/>
        </w:rPr>
        <w:t xml:space="preserve"> representing them</w:t>
      </w:r>
      <w:r w:rsidR="00E84B8F">
        <w:rPr>
          <w:sz w:val="24"/>
          <w:szCs w:val="24"/>
        </w:rPr>
        <w:t>.</w:t>
      </w:r>
      <w:r w:rsidR="00957F8D">
        <w:rPr>
          <w:sz w:val="24"/>
          <w:szCs w:val="24"/>
        </w:rPr>
        <w:t xml:space="preserve"> </w:t>
      </w:r>
    </w:p>
    <w:p w:rsidR="0063141C" w:rsidRDefault="0063141C" w:rsidP="001376FE">
      <w:pPr>
        <w:rPr>
          <w:b/>
          <w:sz w:val="24"/>
          <w:szCs w:val="24"/>
        </w:rPr>
      </w:pPr>
    </w:p>
    <w:p w:rsidR="001376FE" w:rsidRPr="00710F7C" w:rsidRDefault="00481846" w:rsidP="001376FE">
      <w:pPr>
        <w:rPr>
          <w:b/>
          <w:sz w:val="24"/>
          <w:szCs w:val="24"/>
        </w:rPr>
      </w:pPr>
      <w:r w:rsidRPr="00710F7C">
        <w:rPr>
          <w:b/>
          <w:sz w:val="24"/>
          <w:szCs w:val="24"/>
        </w:rPr>
        <w:t>Professional Development</w:t>
      </w:r>
      <w:r w:rsidR="00F752D6" w:rsidRPr="00710F7C">
        <w:rPr>
          <w:b/>
          <w:sz w:val="24"/>
          <w:szCs w:val="24"/>
        </w:rPr>
        <w:t>:</w:t>
      </w:r>
    </w:p>
    <w:p w:rsidR="001F1C5F" w:rsidRPr="007B7417" w:rsidRDefault="00053F3F" w:rsidP="007B7417">
      <w:pPr>
        <w:pStyle w:val="ListParagraph"/>
        <w:numPr>
          <w:ilvl w:val="0"/>
          <w:numId w:val="1"/>
        </w:numPr>
        <w:rPr>
          <w:sz w:val="24"/>
          <w:szCs w:val="24"/>
        </w:rPr>
      </w:pPr>
      <w:r>
        <w:rPr>
          <w:sz w:val="24"/>
          <w:szCs w:val="24"/>
        </w:rPr>
        <w:t>Title I provides</w:t>
      </w:r>
      <w:r w:rsidR="005A7300">
        <w:rPr>
          <w:sz w:val="24"/>
          <w:szCs w:val="24"/>
        </w:rPr>
        <w:t xml:space="preserve"> professional development (</w:t>
      </w:r>
      <w:r>
        <w:rPr>
          <w:sz w:val="24"/>
          <w:szCs w:val="24"/>
        </w:rPr>
        <w:t>PD</w:t>
      </w:r>
      <w:r w:rsidR="005A7300">
        <w:rPr>
          <w:sz w:val="24"/>
          <w:szCs w:val="24"/>
        </w:rPr>
        <w:t>)</w:t>
      </w:r>
      <w:r w:rsidR="005411F6">
        <w:rPr>
          <w:sz w:val="24"/>
          <w:szCs w:val="24"/>
        </w:rPr>
        <w:t xml:space="preserve"> opportunities for paraprofessionals</w:t>
      </w:r>
      <w:r>
        <w:rPr>
          <w:sz w:val="24"/>
          <w:szCs w:val="24"/>
        </w:rPr>
        <w:t xml:space="preserve"> in</w:t>
      </w:r>
      <w:r w:rsidR="00652A71">
        <w:rPr>
          <w:sz w:val="24"/>
          <w:szCs w:val="24"/>
        </w:rPr>
        <w:t xml:space="preserve"> sections pertaining to Schoolw</w:t>
      </w:r>
      <w:r>
        <w:rPr>
          <w:sz w:val="24"/>
          <w:szCs w:val="24"/>
        </w:rPr>
        <w:t>ide Programs.</w:t>
      </w:r>
      <w:r w:rsidR="001F1C5F">
        <w:rPr>
          <w:sz w:val="24"/>
          <w:szCs w:val="24"/>
        </w:rPr>
        <w:t xml:space="preserve"> </w:t>
      </w:r>
      <w:r w:rsidR="00652A71">
        <w:rPr>
          <w:sz w:val="24"/>
          <w:szCs w:val="24"/>
        </w:rPr>
        <w:t>The Schoolw</w:t>
      </w:r>
      <w:r w:rsidR="001F1C5F" w:rsidRPr="001F1C5F">
        <w:rPr>
          <w:sz w:val="24"/>
          <w:szCs w:val="24"/>
        </w:rPr>
        <w:t>ide Program Plan will describe activities that will improve instruction which may include professional development for educators such as</w:t>
      </w:r>
      <w:r w:rsidR="007B7417">
        <w:rPr>
          <w:sz w:val="24"/>
          <w:szCs w:val="24"/>
        </w:rPr>
        <w:t xml:space="preserve"> </w:t>
      </w:r>
      <w:r w:rsidR="001F1C5F" w:rsidRPr="007B7417">
        <w:rPr>
          <w:sz w:val="24"/>
          <w:szCs w:val="24"/>
        </w:rPr>
        <w:t>“paraprofessiona</w:t>
      </w:r>
      <w:r w:rsidR="00B45AE7">
        <w:rPr>
          <w:sz w:val="24"/>
          <w:szCs w:val="24"/>
        </w:rPr>
        <w:t>ls, and other school personnel.”</w:t>
      </w:r>
    </w:p>
    <w:p w:rsidR="009F1714" w:rsidRPr="009F1714" w:rsidRDefault="001F1C5F" w:rsidP="009F1714">
      <w:pPr>
        <w:pStyle w:val="ListParagraph"/>
        <w:numPr>
          <w:ilvl w:val="0"/>
          <w:numId w:val="1"/>
        </w:numPr>
        <w:rPr>
          <w:sz w:val="24"/>
          <w:szCs w:val="24"/>
        </w:rPr>
      </w:pPr>
      <w:r>
        <w:rPr>
          <w:sz w:val="24"/>
          <w:szCs w:val="24"/>
        </w:rPr>
        <w:lastRenderedPageBreak/>
        <w:t xml:space="preserve">Title I Targeted Assistance Programs </w:t>
      </w:r>
      <w:r w:rsidR="009F1714">
        <w:rPr>
          <w:sz w:val="24"/>
          <w:szCs w:val="24"/>
        </w:rPr>
        <w:t xml:space="preserve">may use funds to improve instruction including for professional development to “… </w:t>
      </w:r>
      <w:r w:rsidR="009F1714" w:rsidRPr="009F1714">
        <w:rPr>
          <w:sz w:val="24"/>
          <w:szCs w:val="24"/>
        </w:rPr>
        <w:t>paraprofessionals, and, if appropriate, specialized</w:t>
      </w:r>
    </w:p>
    <w:p w:rsidR="001F1C5F" w:rsidRDefault="009F1714" w:rsidP="009F1714">
      <w:pPr>
        <w:pStyle w:val="ListParagraph"/>
        <w:rPr>
          <w:sz w:val="24"/>
          <w:szCs w:val="24"/>
        </w:rPr>
      </w:pPr>
      <w:r w:rsidRPr="009F1714">
        <w:rPr>
          <w:sz w:val="24"/>
          <w:szCs w:val="24"/>
        </w:rPr>
        <w:t>instructional support personnel, and other school personnel who work with eligible children in programs under this</w:t>
      </w:r>
      <w:r>
        <w:rPr>
          <w:sz w:val="24"/>
          <w:szCs w:val="24"/>
        </w:rPr>
        <w:t xml:space="preserve"> </w:t>
      </w:r>
      <w:r w:rsidRPr="009F1714">
        <w:rPr>
          <w:sz w:val="24"/>
          <w:szCs w:val="24"/>
        </w:rPr>
        <w:t>section or i</w:t>
      </w:r>
      <w:r>
        <w:rPr>
          <w:sz w:val="24"/>
          <w:szCs w:val="24"/>
        </w:rPr>
        <w:t>n the regular education program”.</w:t>
      </w:r>
    </w:p>
    <w:p w:rsidR="00053F3F" w:rsidRPr="00DD06FC" w:rsidRDefault="00DD06FC" w:rsidP="00DD06FC">
      <w:pPr>
        <w:pStyle w:val="ListParagraph"/>
        <w:numPr>
          <w:ilvl w:val="0"/>
          <w:numId w:val="1"/>
        </w:numPr>
        <w:rPr>
          <w:sz w:val="24"/>
          <w:szCs w:val="24"/>
        </w:rPr>
      </w:pPr>
      <w:r>
        <w:rPr>
          <w:sz w:val="24"/>
          <w:szCs w:val="24"/>
        </w:rPr>
        <w:t>Title I Section 1010 Parent and Family Engagement allows for funds to be spent on professional development for family engagement strategies. The list of educators for this sec</w:t>
      </w:r>
      <w:r w:rsidR="004F6B14">
        <w:rPr>
          <w:sz w:val="24"/>
          <w:szCs w:val="24"/>
        </w:rPr>
        <w:t xml:space="preserve">tion includes paraprofessionals and school personnel. </w:t>
      </w:r>
    </w:p>
    <w:p w:rsidR="00DD06FC" w:rsidRDefault="00DD06FC" w:rsidP="00DD06FC">
      <w:pPr>
        <w:pStyle w:val="ListParagraph"/>
        <w:numPr>
          <w:ilvl w:val="0"/>
          <w:numId w:val="1"/>
        </w:numPr>
        <w:rPr>
          <w:sz w:val="24"/>
          <w:szCs w:val="24"/>
        </w:rPr>
      </w:pPr>
      <w:r>
        <w:rPr>
          <w:sz w:val="24"/>
          <w:szCs w:val="24"/>
        </w:rPr>
        <w:t>In Title II, s</w:t>
      </w:r>
      <w:r w:rsidRPr="00DD06FC">
        <w:rPr>
          <w:sz w:val="24"/>
          <w:szCs w:val="24"/>
        </w:rPr>
        <w:t>tates may use funds for establishing or improving routes to alternative teacher certification. Emphasis is given in aiding some groups to alternative certification. Paraprofessionals are one of the specific groups.</w:t>
      </w:r>
    </w:p>
    <w:p w:rsidR="00DD06FC" w:rsidRPr="00DD06FC" w:rsidRDefault="00DD06FC" w:rsidP="00DD06FC">
      <w:pPr>
        <w:pStyle w:val="ListParagraph"/>
        <w:numPr>
          <w:ilvl w:val="0"/>
          <w:numId w:val="1"/>
        </w:numPr>
        <w:rPr>
          <w:sz w:val="24"/>
          <w:szCs w:val="24"/>
        </w:rPr>
      </w:pPr>
      <w:r>
        <w:rPr>
          <w:sz w:val="24"/>
          <w:szCs w:val="24"/>
        </w:rPr>
        <w:t xml:space="preserve">Additional Title II </w:t>
      </w:r>
      <w:r w:rsidR="007B7417">
        <w:rPr>
          <w:sz w:val="24"/>
          <w:szCs w:val="24"/>
        </w:rPr>
        <w:t xml:space="preserve">paraprofessional </w:t>
      </w:r>
      <w:r>
        <w:rPr>
          <w:sz w:val="24"/>
          <w:szCs w:val="24"/>
        </w:rPr>
        <w:t>professional development opportunities include:</w:t>
      </w:r>
    </w:p>
    <w:p w:rsidR="00053F3F" w:rsidRDefault="00053F3F" w:rsidP="00053F3F">
      <w:pPr>
        <w:pStyle w:val="ListParagraph"/>
        <w:numPr>
          <w:ilvl w:val="0"/>
          <w:numId w:val="3"/>
        </w:numPr>
        <w:rPr>
          <w:sz w:val="24"/>
          <w:szCs w:val="24"/>
        </w:rPr>
      </w:pPr>
      <w:r>
        <w:rPr>
          <w:sz w:val="24"/>
          <w:szCs w:val="24"/>
        </w:rPr>
        <w:t>To recognize an</w:t>
      </w:r>
      <w:r w:rsidR="00FE1A88">
        <w:rPr>
          <w:sz w:val="24"/>
          <w:szCs w:val="24"/>
        </w:rPr>
        <w:t>d</w:t>
      </w:r>
      <w:r>
        <w:rPr>
          <w:sz w:val="24"/>
          <w:szCs w:val="24"/>
        </w:rPr>
        <w:t xml:space="preserve"> prevent child abuse</w:t>
      </w:r>
      <w:r w:rsidR="00957F8D">
        <w:rPr>
          <w:sz w:val="24"/>
          <w:szCs w:val="24"/>
        </w:rPr>
        <w:t>. (Paraprofessionals)</w:t>
      </w:r>
    </w:p>
    <w:p w:rsidR="00053F3F" w:rsidRDefault="00053F3F" w:rsidP="00053F3F">
      <w:pPr>
        <w:pStyle w:val="ListParagraph"/>
        <w:numPr>
          <w:ilvl w:val="0"/>
          <w:numId w:val="3"/>
        </w:numPr>
        <w:rPr>
          <w:sz w:val="24"/>
          <w:szCs w:val="24"/>
        </w:rPr>
      </w:pPr>
      <w:r>
        <w:rPr>
          <w:sz w:val="24"/>
          <w:szCs w:val="24"/>
        </w:rPr>
        <w:t>To work with children transitioning from early childhood education to elementary school</w:t>
      </w:r>
      <w:r w:rsidR="00957F8D">
        <w:rPr>
          <w:sz w:val="24"/>
          <w:szCs w:val="24"/>
        </w:rPr>
        <w:t xml:space="preserve"> (Paraprofessionals)</w:t>
      </w:r>
    </w:p>
    <w:p w:rsidR="00053F3F" w:rsidRDefault="00053F3F" w:rsidP="00053F3F">
      <w:pPr>
        <w:pStyle w:val="ListParagraph"/>
        <w:numPr>
          <w:ilvl w:val="0"/>
          <w:numId w:val="3"/>
        </w:numPr>
        <w:rPr>
          <w:sz w:val="24"/>
          <w:szCs w:val="24"/>
        </w:rPr>
      </w:pPr>
      <w:r>
        <w:rPr>
          <w:sz w:val="24"/>
          <w:szCs w:val="24"/>
        </w:rPr>
        <w:t>English Proficiency</w:t>
      </w:r>
      <w:r w:rsidR="00E84B8F">
        <w:rPr>
          <w:sz w:val="24"/>
          <w:szCs w:val="24"/>
        </w:rPr>
        <w:t xml:space="preserve"> (Paraprofessionals and Program Staff)</w:t>
      </w:r>
    </w:p>
    <w:p w:rsidR="00053F3F" w:rsidRDefault="00053F3F" w:rsidP="00053F3F">
      <w:pPr>
        <w:pStyle w:val="ListParagraph"/>
        <w:numPr>
          <w:ilvl w:val="0"/>
          <w:numId w:val="3"/>
        </w:numPr>
        <w:rPr>
          <w:sz w:val="24"/>
          <w:szCs w:val="24"/>
        </w:rPr>
      </w:pPr>
      <w:r>
        <w:rPr>
          <w:sz w:val="24"/>
          <w:szCs w:val="24"/>
        </w:rPr>
        <w:t>Literacy at several grade levels</w:t>
      </w:r>
      <w:r w:rsidR="00955DE9">
        <w:rPr>
          <w:sz w:val="24"/>
          <w:szCs w:val="24"/>
        </w:rPr>
        <w:t xml:space="preserve"> (Paraprofessionals)</w:t>
      </w:r>
    </w:p>
    <w:p w:rsidR="00B520B4" w:rsidRDefault="00B520B4" w:rsidP="00053F3F">
      <w:pPr>
        <w:pStyle w:val="ListParagraph"/>
        <w:numPr>
          <w:ilvl w:val="0"/>
          <w:numId w:val="4"/>
        </w:numPr>
        <w:rPr>
          <w:sz w:val="24"/>
          <w:szCs w:val="24"/>
        </w:rPr>
      </w:pPr>
      <w:r>
        <w:rPr>
          <w:sz w:val="24"/>
          <w:szCs w:val="24"/>
        </w:rPr>
        <w:t xml:space="preserve">Title III PD opportunities for Language </w:t>
      </w:r>
      <w:r w:rsidR="00F752D6">
        <w:rPr>
          <w:sz w:val="24"/>
          <w:szCs w:val="24"/>
        </w:rPr>
        <w:t>Instruction for English Learners</w:t>
      </w:r>
      <w:r>
        <w:rPr>
          <w:sz w:val="24"/>
          <w:szCs w:val="24"/>
        </w:rPr>
        <w:t xml:space="preserve"> and Immigrant Students</w:t>
      </w:r>
      <w:r w:rsidR="000D29CA">
        <w:rPr>
          <w:sz w:val="24"/>
          <w:szCs w:val="24"/>
        </w:rPr>
        <w:t>: “personnel, including teachers and paraprofessionals…”</w:t>
      </w:r>
    </w:p>
    <w:p w:rsidR="00DD1EEB" w:rsidRDefault="00DD1EEB" w:rsidP="00DD1EEB">
      <w:pPr>
        <w:pStyle w:val="ListParagraph"/>
        <w:numPr>
          <w:ilvl w:val="0"/>
          <w:numId w:val="4"/>
        </w:numPr>
        <w:rPr>
          <w:sz w:val="24"/>
          <w:szCs w:val="24"/>
        </w:rPr>
      </w:pPr>
      <w:r>
        <w:rPr>
          <w:sz w:val="24"/>
          <w:szCs w:val="24"/>
        </w:rPr>
        <w:t xml:space="preserve">Title III provides an opportunity for collaboration with institutions of higher education for ESP professional development. Sec 3131 National Professional Development Project provides grants </w:t>
      </w:r>
      <w:r w:rsidRPr="00DD1EEB">
        <w:rPr>
          <w:sz w:val="24"/>
          <w:szCs w:val="24"/>
        </w:rPr>
        <w:t>‘‘(1) for effective preservice or inservice professional development programs that will improve the qualifications and skills of educational personnel involved in the education of English learners, including personnel who are not certified or licensed and educational paraprofessionals, and for other activities to increase teacher and school leader effectiveness in meeting the needs of English learners</w:t>
      </w:r>
      <w:r>
        <w:rPr>
          <w:sz w:val="24"/>
          <w:szCs w:val="24"/>
        </w:rPr>
        <w:t>”</w:t>
      </w:r>
      <w:r w:rsidR="007B7417">
        <w:rPr>
          <w:sz w:val="24"/>
          <w:szCs w:val="24"/>
        </w:rPr>
        <w:t>.</w:t>
      </w:r>
      <w:r>
        <w:rPr>
          <w:sz w:val="24"/>
          <w:szCs w:val="24"/>
        </w:rPr>
        <w:t xml:space="preserve"> </w:t>
      </w:r>
    </w:p>
    <w:p w:rsidR="00053F3F" w:rsidRDefault="00B520B4" w:rsidP="00053F3F">
      <w:pPr>
        <w:pStyle w:val="ListParagraph"/>
        <w:numPr>
          <w:ilvl w:val="0"/>
          <w:numId w:val="4"/>
        </w:numPr>
        <w:rPr>
          <w:sz w:val="24"/>
          <w:szCs w:val="24"/>
        </w:rPr>
      </w:pPr>
      <w:r>
        <w:rPr>
          <w:sz w:val="24"/>
          <w:szCs w:val="24"/>
        </w:rPr>
        <w:t>Title IV 21</w:t>
      </w:r>
      <w:r w:rsidRPr="00B520B4">
        <w:rPr>
          <w:sz w:val="24"/>
          <w:szCs w:val="24"/>
          <w:vertAlign w:val="superscript"/>
        </w:rPr>
        <w:t>st</w:t>
      </w:r>
      <w:r>
        <w:rPr>
          <w:sz w:val="24"/>
          <w:szCs w:val="24"/>
        </w:rPr>
        <w:t xml:space="preserve"> Century Schools PD fo</w:t>
      </w:r>
      <w:r w:rsidR="00CC1E4F">
        <w:rPr>
          <w:sz w:val="24"/>
          <w:szCs w:val="24"/>
        </w:rPr>
        <w:t>r technology and school safety</w:t>
      </w:r>
      <w:r w:rsidR="00253776">
        <w:rPr>
          <w:sz w:val="24"/>
          <w:szCs w:val="24"/>
        </w:rPr>
        <w:t xml:space="preserve">. </w:t>
      </w:r>
    </w:p>
    <w:p w:rsidR="00253776" w:rsidRDefault="00253776" w:rsidP="00253776">
      <w:pPr>
        <w:pStyle w:val="ListParagraph"/>
        <w:numPr>
          <w:ilvl w:val="0"/>
          <w:numId w:val="5"/>
        </w:numPr>
        <w:rPr>
          <w:sz w:val="24"/>
          <w:szCs w:val="24"/>
        </w:rPr>
      </w:pPr>
      <w:r>
        <w:rPr>
          <w:sz w:val="24"/>
          <w:szCs w:val="24"/>
        </w:rPr>
        <w:t>Paraprofessionals, librarians, and media personnel are listed as those who may be trained in technology usage with these funds.</w:t>
      </w:r>
      <w:r w:rsidR="00AE2EC9">
        <w:rPr>
          <w:sz w:val="24"/>
          <w:szCs w:val="24"/>
        </w:rPr>
        <w:t xml:space="preserve"> See additional Title IV opportunities below.</w:t>
      </w:r>
    </w:p>
    <w:p w:rsidR="00CC1E4F" w:rsidRDefault="00CC1E4F" w:rsidP="00053F3F">
      <w:pPr>
        <w:pStyle w:val="ListParagraph"/>
        <w:numPr>
          <w:ilvl w:val="0"/>
          <w:numId w:val="4"/>
        </w:numPr>
        <w:rPr>
          <w:sz w:val="24"/>
          <w:szCs w:val="24"/>
        </w:rPr>
      </w:pPr>
      <w:r>
        <w:rPr>
          <w:sz w:val="24"/>
          <w:szCs w:val="24"/>
        </w:rPr>
        <w:t xml:space="preserve">Title VI Indian, Native </w:t>
      </w:r>
      <w:r w:rsidR="003D1B7E">
        <w:rPr>
          <w:sz w:val="24"/>
          <w:szCs w:val="24"/>
        </w:rPr>
        <w:t>Hawaiian</w:t>
      </w:r>
      <w:r>
        <w:rPr>
          <w:sz w:val="24"/>
          <w:szCs w:val="24"/>
        </w:rPr>
        <w:t>, and Alaska Native Education</w:t>
      </w:r>
      <w:r w:rsidR="006E2C71">
        <w:rPr>
          <w:sz w:val="24"/>
          <w:szCs w:val="24"/>
        </w:rPr>
        <w:t xml:space="preserve"> offers PD opportunities for paraprofessionals working with native populations as well as allowing funds to be spent to develop educators, including paraprofessionals, within the Indian populations.</w:t>
      </w:r>
    </w:p>
    <w:p w:rsidR="00AE2EC9" w:rsidRPr="00710F7C" w:rsidRDefault="00AE2EC9" w:rsidP="00AE2EC9">
      <w:pPr>
        <w:rPr>
          <w:b/>
          <w:sz w:val="24"/>
          <w:szCs w:val="24"/>
        </w:rPr>
      </w:pPr>
      <w:r w:rsidRPr="00710F7C">
        <w:rPr>
          <w:b/>
          <w:sz w:val="24"/>
          <w:szCs w:val="24"/>
        </w:rPr>
        <w:t>Special Programs:</w:t>
      </w:r>
    </w:p>
    <w:p w:rsidR="00B476BE" w:rsidRPr="00B476BE" w:rsidRDefault="006D0EE0" w:rsidP="00B476BE">
      <w:pPr>
        <w:pStyle w:val="ListParagraph"/>
        <w:numPr>
          <w:ilvl w:val="0"/>
          <w:numId w:val="4"/>
        </w:numPr>
        <w:rPr>
          <w:sz w:val="24"/>
          <w:szCs w:val="24"/>
        </w:rPr>
      </w:pPr>
      <w:r w:rsidRPr="00B476BE">
        <w:rPr>
          <w:sz w:val="24"/>
          <w:szCs w:val="24"/>
        </w:rPr>
        <w:t xml:space="preserve">Title IV </w:t>
      </w:r>
      <w:r w:rsidR="00AE2EC9" w:rsidRPr="00B476BE">
        <w:rPr>
          <w:sz w:val="24"/>
          <w:szCs w:val="24"/>
        </w:rPr>
        <w:t>Sec 4103 Formula Grant to States allow for funds to be used for a variety of student programs such as violence and drug prevention,</w:t>
      </w:r>
      <w:r w:rsidRPr="00B476BE">
        <w:rPr>
          <w:sz w:val="24"/>
          <w:szCs w:val="24"/>
        </w:rPr>
        <w:t xml:space="preserve"> student discipline,</w:t>
      </w:r>
      <w:r w:rsidR="00AE2EC9" w:rsidRPr="00B476BE">
        <w:rPr>
          <w:sz w:val="24"/>
          <w:szCs w:val="24"/>
        </w:rPr>
        <w:t xml:space="preserve"> mental health awareness,</w:t>
      </w:r>
      <w:r w:rsidR="004F6B14" w:rsidRPr="00B476BE">
        <w:rPr>
          <w:sz w:val="24"/>
          <w:szCs w:val="24"/>
        </w:rPr>
        <w:t xml:space="preserve"> and safety </w:t>
      </w:r>
      <w:r w:rsidR="00AE2EC9" w:rsidRPr="00B476BE">
        <w:rPr>
          <w:sz w:val="24"/>
          <w:szCs w:val="24"/>
        </w:rPr>
        <w:t>to name a few. These programs involve the E</w:t>
      </w:r>
      <w:r w:rsidR="00B45AE7">
        <w:rPr>
          <w:sz w:val="24"/>
          <w:szCs w:val="24"/>
        </w:rPr>
        <w:t>SP career families of Technical</w:t>
      </w:r>
      <w:r w:rsidR="00AE2EC9" w:rsidRPr="00B476BE">
        <w:rPr>
          <w:sz w:val="24"/>
          <w:szCs w:val="24"/>
        </w:rPr>
        <w:t xml:space="preserve"> Services, Security Services, </w:t>
      </w:r>
      <w:r w:rsidRPr="00B476BE">
        <w:rPr>
          <w:sz w:val="24"/>
          <w:szCs w:val="24"/>
        </w:rPr>
        <w:t xml:space="preserve">and Health and Student Services as </w:t>
      </w:r>
      <w:r w:rsidR="005411F6">
        <w:rPr>
          <w:sz w:val="24"/>
          <w:szCs w:val="24"/>
        </w:rPr>
        <w:t xml:space="preserve">well </w:t>
      </w:r>
      <w:r w:rsidR="005411F6">
        <w:rPr>
          <w:sz w:val="24"/>
          <w:szCs w:val="24"/>
        </w:rPr>
        <w:lastRenderedPageBreak/>
        <w:t>as Paraprofessionals</w:t>
      </w:r>
      <w:r w:rsidRPr="00B476BE">
        <w:rPr>
          <w:sz w:val="24"/>
          <w:szCs w:val="24"/>
        </w:rPr>
        <w:t xml:space="preserve">. </w:t>
      </w:r>
      <w:r w:rsidR="009A2112" w:rsidRPr="00B476BE">
        <w:rPr>
          <w:sz w:val="24"/>
          <w:szCs w:val="24"/>
        </w:rPr>
        <w:t xml:space="preserve"> However, there is flexibility with the use of these funds that could involve other ESP if</w:t>
      </w:r>
      <w:r w:rsidRPr="00B476BE">
        <w:rPr>
          <w:sz w:val="24"/>
          <w:szCs w:val="24"/>
        </w:rPr>
        <w:t xml:space="preserve"> </w:t>
      </w:r>
      <w:r w:rsidR="009A2112" w:rsidRPr="00B476BE">
        <w:rPr>
          <w:sz w:val="24"/>
          <w:szCs w:val="24"/>
        </w:rPr>
        <w:t xml:space="preserve">the Whole Student philosophy is applied to innovative programs. For example, a program to train food service professionals in bullying </w:t>
      </w:r>
      <w:r w:rsidR="0063141C">
        <w:rPr>
          <w:sz w:val="24"/>
          <w:szCs w:val="24"/>
        </w:rPr>
        <w:t>p</w:t>
      </w:r>
      <w:r w:rsidR="009A2112" w:rsidRPr="00B476BE">
        <w:rPr>
          <w:sz w:val="24"/>
          <w:szCs w:val="24"/>
        </w:rPr>
        <w:t>revention, or custodians and bus drivers in student mentoring.</w:t>
      </w:r>
      <w:r w:rsidR="00AE2EC9" w:rsidRPr="00B476BE">
        <w:rPr>
          <w:sz w:val="24"/>
          <w:szCs w:val="24"/>
        </w:rPr>
        <w:t xml:space="preserve"> </w:t>
      </w:r>
      <w:r w:rsidR="00B476BE" w:rsidRPr="00B476BE">
        <w:rPr>
          <w:sz w:val="24"/>
          <w:szCs w:val="24"/>
        </w:rPr>
        <w:t>Additionally, this section addresses student support and ac</w:t>
      </w:r>
      <w:r w:rsidR="005411F6">
        <w:rPr>
          <w:sz w:val="24"/>
          <w:szCs w:val="24"/>
        </w:rPr>
        <w:t>ademic enrichment grants that could also involve ESP career families.</w:t>
      </w:r>
    </w:p>
    <w:p w:rsidR="0063141C" w:rsidRDefault="0063141C" w:rsidP="00710F7C">
      <w:pPr>
        <w:rPr>
          <w:b/>
          <w:sz w:val="24"/>
          <w:szCs w:val="24"/>
        </w:rPr>
      </w:pPr>
    </w:p>
    <w:p w:rsidR="009A2112" w:rsidRPr="00710F7C" w:rsidRDefault="00B45AE7" w:rsidP="00710F7C">
      <w:pPr>
        <w:rPr>
          <w:b/>
          <w:sz w:val="24"/>
          <w:szCs w:val="24"/>
        </w:rPr>
      </w:pPr>
      <w:r>
        <w:rPr>
          <w:b/>
          <w:sz w:val="24"/>
          <w:szCs w:val="24"/>
        </w:rPr>
        <w:t>A New Name and a</w:t>
      </w:r>
      <w:r w:rsidR="009A2112" w:rsidRPr="00710F7C">
        <w:rPr>
          <w:b/>
          <w:sz w:val="24"/>
          <w:szCs w:val="24"/>
        </w:rPr>
        <w:t>n Important Definition</w:t>
      </w:r>
    </w:p>
    <w:p w:rsidR="009A2112" w:rsidRDefault="000F7D34" w:rsidP="00053F3F">
      <w:pPr>
        <w:pStyle w:val="ListParagraph"/>
        <w:numPr>
          <w:ilvl w:val="0"/>
          <w:numId w:val="4"/>
        </w:numPr>
        <w:rPr>
          <w:sz w:val="24"/>
          <w:szCs w:val="24"/>
        </w:rPr>
      </w:pPr>
      <w:r>
        <w:rPr>
          <w:sz w:val="24"/>
          <w:szCs w:val="24"/>
        </w:rPr>
        <w:t>Title VIII General Provisions introduces the preferable term “paraeducator” into federal statute for the first time.</w:t>
      </w:r>
    </w:p>
    <w:p w:rsidR="000F7D34" w:rsidRDefault="009A2112" w:rsidP="00053F3F">
      <w:pPr>
        <w:pStyle w:val="ListParagraph"/>
        <w:numPr>
          <w:ilvl w:val="0"/>
          <w:numId w:val="4"/>
        </w:numPr>
        <w:rPr>
          <w:sz w:val="24"/>
          <w:szCs w:val="24"/>
        </w:rPr>
      </w:pPr>
      <w:r>
        <w:rPr>
          <w:sz w:val="24"/>
          <w:szCs w:val="24"/>
        </w:rPr>
        <w:t xml:space="preserve"> Additionally, </w:t>
      </w:r>
      <w:r w:rsidR="000F7D34">
        <w:rPr>
          <w:sz w:val="24"/>
          <w:szCs w:val="24"/>
        </w:rPr>
        <w:t>Title</w:t>
      </w:r>
      <w:r>
        <w:rPr>
          <w:sz w:val="24"/>
          <w:szCs w:val="24"/>
        </w:rPr>
        <w:t xml:space="preserve"> VIII</w:t>
      </w:r>
      <w:r w:rsidR="000F7D34">
        <w:rPr>
          <w:sz w:val="24"/>
          <w:szCs w:val="24"/>
        </w:rPr>
        <w:t xml:space="preserve"> defines </w:t>
      </w:r>
      <w:r w:rsidR="007B7417">
        <w:rPr>
          <w:sz w:val="24"/>
          <w:szCs w:val="24"/>
        </w:rPr>
        <w:t>p</w:t>
      </w:r>
      <w:r w:rsidR="000F7D34">
        <w:rPr>
          <w:sz w:val="24"/>
          <w:szCs w:val="24"/>
        </w:rPr>
        <w:t xml:space="preserve">rofessional </w:t>
      </w:r>
      <w:r w:rsidR="007B7417">
        <w:rPr>
          <w:sz w:val="24"/>
          <w:szCs w:val="24"/>
        </w:rPr>
        <w:t>d</w:t>
      </w:r>
      <w:r w:rsidR="000F7D34">
        <w:rPr>
          <w:sz w:val="24"/>
          <w:szCs w:val="24"/>
        </w:rPr>
        <w:t xml:space="preserve">evelopment to mean </w:t>
      </w:r>
      <w:r w:rsidR="00481846">
        <w:rPr>
          <w:sz w:val="24"/>
          <w:szCs w:val="24"/>
        </w:rPr>
        <w:t>activities that provide educators, paraprofessionals specifically included, with the knowledge and skills necessary to enable students to meet academic standards.</w:t>
      </w:r>
    </w:p>
    <w:p w:rsidR="0063141C" w:rsidRDefault="0063141C" w:rsidP="00F25925">
      <w:pPr>
        <w:rPr>
          <w:b/>
          <w:sz w:val="24"/>
          <w:szCs w:val="24"/>
        </w:rPr>
      </w:pPr>
    </w:p>
    <w:p w:rsidR="00F25925" w:rsidRDefault="00F25925" w:rsidP="00F25925">
      <w:pPr>
        <w:rPr>
          <w:b/>
          <w:sz w:val="24"/>
          <w:szCs w:val="24"/>
        </w:rPr>
      </w:pPr>
      <w:r>
        <w:rPr>
          <w:b/>
          <w:sz w:val="24"/>
          <w:szCs w:val="24"/>
        </w:rPr>
        <w:t>Dashboard Indicator</w:t>
      </w:r>
    </w:p>
    <w:p w:rsidR="00F25925" w:rsidRDefault="00F25925" w:rsidP="009C6B55">
      <w:pPr>
        <w:rPr>
          <w:sz w:val="24"/>
          <w:szCs w:val="24"/>
        </w:rPr>
      </w:pPr>
      <w:r>
        <w:rPr>
          <w:sz w:val="24"/>
          <w:szCs w:val="24"/>
        </w:rPr>
        <w:t>Although ESSA reduces the emphasis on assessments, every state must meaningfully differentiate all of their public schools. The accountability s</w:t>
      </w:r>
      <w:r w:rsidR="00DF77DC">
        <w:rPr>
          <w:sz w:val="24"/>
          <w:szCs w:val="24"/>
        </w:rPr>
        <w:t>ystems under ESSA will</w:t>
      </w:r>
      <w:r w:rsidR="009C6B55">
        <w:rPr>
          <w:sz w:val="24"/>
          <w:szCs w:val="24"/>
        </w:rPr>
        <w:t xml:space="preserve"> include traditional indicators such as math and reading assessments and graduation rates, but also, </w:t>
      </w:r>
      <w:r w:rsidR="005714F7">
        <w:rPr>
          <w:sz w:val="24"/>
          <w:szCs w:val="24"/>
        </w:rPr>
        <w:t xml:space="preserve">must </w:t>
      </w:r>
      <w:r w:rsidR="004F6B14">
        <w:rPr>
          <w:sz w:val="24"/>
          <w:szCs w:val="24"/>
        </w:rPr>
        <w:t xml:space="preserve">include </w:t>
      </w:r>
      <w:r w:rsidR="009C6B55">
        <w:rPr>
          <w:sz w:val="24"/>
          <w:szCs w:val="24"/>
        </w:rPr>
        <w:t>at least one indicator of school quality and student support such as:</w:t>
      </w:r>
      <w:r w:rsidR="004F6B14">
        <w:rPr>
          <w:sz w:val="24"/>
          <w:szCs w:val="24"/>
        </w:rPr>
        <w:t xml:space="preserve"> Student engagement, educator engagement, student access to </w:t>
      </w:r>
      <w:r w:rsidR="00F85AF1">
        <w:rPr>
          <w:sz w:val="24"/>
          <w:szCs w:val="24"/>
        </w:rPr>
        <w:t>and completion of advanced course work, post-secondary readiness, school climate and safety, and any other indicator</w:t>
      </w:r>
      <w:r w:rsidR="00643454">
        <w:rPr>
          <w:sz w:val="24"/>
          <w:szCs w:val="24"/>
        </w:rPr>
        <w:t xml:space="preserve"> chosen by the state that meets requirements such as validity, reliability, comparability, and is administered statewide.</w:t>
      </w:r>
    </w:p>
    <w:p w:rsidR="0063141C" w:rsidRDefault="00643454" w:rsidP="0063141C">
      <w:pPr>
        <w:rPr>
          <w:sz w:val="24"/>
          <w:szCs w:val="24"/>
        </w:rPr>
      </w:pPr>
      <w:r>
        <w:rPr>
          <w:sz w:val="24"/>
          <w:szCs w:val="24"/>
        </w:rPr>
        <w:t>By applying the Whole Student philosophy, whereby all ESP are educators, and with innovative thinking, ESP can play a crucial</w:t>
      </w:r>
      <w:r w:rsidR="00486B5C">
        <w:rPr>
          <w:sz w:val="24"/>
          <w:szCs w:val="24"/>
        </w:rPr>
        <w:t xml:space="preserve"> role in meeting indicators. The following are just a few</w:t>
      </w:r>
      <w:r>
        <w:rPr>
          <w:sz w:val="24"/>
          <w:szCs w:val="24"/>
        </w:rPr>
        <w:t xml:space="preserve"> example</w:t>
      </w:r>
      <w:r w:rsidR="00486B5C">
        <w:rPr>
          <w:sz w:val="24"/>
          <w:szCs w:val="24"/>
        </w:rPr>
        <w:t>s</w:t>
      </w:r>
      <w:r w:rsidR="005714F7">
        <w:rPr>
          <w:sz w:val="24"/>
          <w:szCs w:val="24"/>
        </w:rPr>
        <w:t xml:space="preserve"> for advocates involved in influencing the accountability system in the state plan</w:t>
      </w:r>
      <w:r>
        <w:rPr>
          <w:sz w:val="24"/>
          <w:szCs w:val="24"/>
        </w:rPr>
        <w:t>:</w:t>
      </w:r>
    </w:p>
    <w:p w:rsidR="00643454" w:rsidRDefault="00643454" w:rsidP="0063141C">
      <w:pPr>
        <w:pStyle w:val="ListParagraph"/>
        <w:numPr>
          <w:ilvl w:val="0"/>
          <w:numId w:val="8"/>
        </w:numPr>
        <w:rPr>
          <w:sz w:val="24"/>
          <w:szCs w:val="24"/>
        </w:rPr>
      </w:pPr>
      <w:r w:rsidRPr="0063141C">
        <w:rPr>
          <w:sz w:val="24"/>
          <w:szCs w:val="24"/>
        </w:rPr>
        <w:t>Student attendance may be influenced by clerical professionals who are many times tasked with tracking attendance and are often the first contact with the absent student or student’s family.</w:t>
      </w:r>
      <w:r w:rsidR="00486B5C" w:rsidRPr="0063141C">
        <w:rPr>
          <w:sz w:val="24"/>
          <w:szCs w:val="24"/>
        </w:rPr>
        <w:t xml:space="preserve"> Additionally, custodians and maintenance ESP who keep our schools clean and free of allergens are actually keeping students health</w:t>
      </w:r>
      <w:r w:rsidR="00927A8F" w:rsidRPr="0063141C">
        <w:rPr>
          <w:sz w:val="24"/>
          <w:szCs w:val="24"/>
        </w:rPr>
        <w:t>y</w:t>
      </w:r>
      <w:r w:rsidR="00486B5C" w:rsidRPr="0063141C">
        <w:rPr>
          <w:sz w:val="24"/>
          <w:szCs w:val="24"/>
        </w:rPr>
        <w:t xml:space="preserve"> and at school. </w:t>
      </w:r>
    </w:p>
    <w:p w:rsidR="00D007FE" w:rsidRPr="0063141C" w:rsidRDefault="00D007FE" w:rsidP="00D007FE">
      <w:pPr>
        <w:pStyle w:val="ListParagraph"/>
        <w:rPr>
          <w:sz w:val="24"/>
          <w:szCs w:val="24"/>
        </w:rPr>
      </w:pPr>
    </w:p>
    <w:p w:rsidR="00643454" w:rsidRDefault="00643454" w:rsidP="00643454">
      <w:pPr>
        <w:pStyle w:val="ListParagraph"/>
        <w:numPr>
          <w:ilvl w:val="0"/>
          <w:numId w:val="7"/>
        </w:numPr>
        <w:rPr>
          <w:sz w:val="24"/>
          <w:szCs w:val="24"/>
        </w:rPr>
      </w:pPr>
      <w:r>
        <w:rPr>
          <w:sz w:val="24"/>
          <w:szCs w:val="24"/>
        </w:rPr>
        <w:t>Graduation rates may be improved by qualified paraeducators who help students overcome learning challenges.</w:t>
      </w:r>
    </w:p>
    <w:p w:rsidR="00643454" w:rsidRDefault="00C47183" w:rsidP="00C47183">
      <w:pPr>
        <w:pStyle w:val="ListParagraph"/>
        <w:numPr>
          <w:ilvl w:val="0"/>
          <w:numId w:val="7"/>
        </w:numPr>
        <w:rPr>
          <w:sz w:val="24"/>
          <w:szCs w:val="24"/>
        </w:rPr>
      </w:pPr>
      <w:r>
        <w:rPr>
          <w:sz w:val="24"/>
          <w:szCs w:val="24"/>
        </w:rPr>
        <w:lastRenderedPageBreak/>
        <w:t>A positive behavior reinforcement model adopted by a school can only be comprehensive and complete if ESP are involved.  Not only security officers and hall monitors, but also bus drivers, food service employees, paraeducators, and any other ESP interacting with students should participate in the implementation of the model.</w:t>
      </w:r>
    </w:p>
    <w:p w:rsidR="00064A6D" w:rsidRDefault="00064A6D" w:rsidP="00064A6D">
      <w:pPr>
        <w:pStyle w:val="ListParagraph"/>
        <w:rPr>
          <w:sz w:val="24"/>
          <w:szCs w:val="24"/>
        </w:rPr>
      </w:pPr>
    </w:p>
    <w:p w:rsidR="00643454" w:rsidRDefault="00643454" w:rsidP="00643454">
      <w:pPr>
        <w:pStyle w:val="ListParagraph"/>
        <w:numPr>
          <w:ilvl w:val="0"/>
          <w:numId w:val="7"/>
        </w:numPr>
        <w:rPr>
          <w:sz w:val="24"/>
          <w:szCs w:val="24"/>
        </w:rPr>
      </w:pPr>
      <w:r>
        <w:rPr>
          <w:sz w:val="24"/>
          <w:szCs w:val="24"/>
        </w:rPr>
        <w:t>Appropriate assessment systems need the input of paraeducators who are frontline educators.</w:t>
      </w:r>
    </w:p>
    <w:p w:rsidR="0063141C" w:rsidRDefault="0063141C" w:rsidP="0063141C">
      <w:pPr>
        <w:pStyle w:val="ListParagraph"/>
        <w:rPr>
          <w:sz w:val="24"/>
          <w:szCs w:val="24"/>
        </w:rPr>
      </w:pPr>
    </w:p>
    <w:p w:rsidR="00D007FE" w:rsidRDefault="00D007FE" w:rsidP="00D007FE">
      <w:pPr>
        <w:pStyle w:val="ListParagraph"/>
        <w:numPr>
          <w:ilvl w:val="0"/>
          <w:numId w:val="7"/>
        </w:numPr>
        <w:spacing w:before="100" w:beforeAutospacing="1" w:after="100" w:afterAutospacing="1"/>
      </w:pPr>
      <w:r w:rsidRPr="00D007FE">
        <w:rPr>
          <w:sz w:val="24"/>
          <w:szCs w:val="24"/>
        </w:rPr>
        <w:t>School climate is a major contributing factor to s</w:t>
      </w:r>
      <w:r w:rsidR="00DF77DC">
        <w:rPr>
          <w:sz w:val="24"/>
          <w:szCs w:val="24"/>
        </w:rPr>
        <w:t xml:space="preserve">tudents’ academic success and </w:t>
      </w:r>
      <w:r w:rsidRPr="00D007FE">
        <w:rPr>
          <w:sz w:val="24"/>
          <w:szCs w:val="24"/>
        </w:rPr>
        <w:t>healthy attitude</w:t>
      </w:r>
      <w:r w:rsidR="00DF77DC">
        <w:rPr>
          <w:sz w:val="24"/>
          <w:szCs w:val="24"/>
        </w:rPr>
        <w:t>s</w:t>
      </w:r>
      <w:r w:rsidRPr="00D007FE">
        <w:rPr>
          <w:sz w:val="24"/>
          <w:szCs w:val="24"/>
        </w:rPr>
        <w:t xml:space="preserve"> towards learning.  ESP</w:t>
      </w:r>
      <w:r w:rsidRPr="00D007FE">
        <w:rPr>
          <w:rFonts w:cs="Arial"/>
          <w:sz w:val="24"/>
          <w:szCs w:val="24"/>
        </w:rPr>
        <w:t> should be trained and fully participatory in anti-bullying intervention and prevention programs, mentoring initiatives, and cultural awareness.</w:t>
      </w:r>
    </w:p>
    <w:p w:rsidR="00D007FE" w:rsidRDefault="00D007FE" w:rsidP="00D007FE">
      <w:pPr>
        <w:pStyle w:val="ListParagraph"/>
        <w:spacing w:before="100" w:beforeAutospacing="1" w:after="100" w:afterAutospacing="1"/>
      </w:pPr>
    </w:p>
    <w:p w:rsidR="00D007FE" w:rsidRPr="00BD6EF8" w:rsidRDefault="00D007FE" w:rsidP="00D007FE">
      <w:pPr>
        <w:pStyle w:val="ListParagraph"/>
        <w:numPr>
          <w:ilvl w:val="0"/>
          <w:numId w:val="7"/>
        </w:numPr>
        <w:spacing w:before="100" w:beforeAutospacing="1" w:after="100" w:afterAutospacing="1"/>
        <w:rPr>
          <w:sz w:val="24"/>
          <w:szCs w:val="24"/>
        </w:rPr>
      </w:pPr>
      <w:r w:rsidRPr="00D007FE">
        <w:rPr>
          <w:sz w:val="24"/>
          <w:szCs w:val="24"/>
        </w:rPr>
        <w:t xml:space="preserve"> </w:t>
      </w:r>
      <w:r w:rsidRPr="00D007FE">
        <w:rPr>
          <w:rFonts w:cs="Arial"/>
          <w:sz w:val="24"/>
          <w:szCs w:val="24"/>
        </w:rPr>
        <w:t>English learners can benef</w:t>
      </w:r>
      <w:r w:rsidR="00B45AE7">
        <w:rPr>
          <w:rFonts w:cs="Arial"/>
          <w:sz w:val="24"/>
          <w:szCs w:val="24"/>
        </w:rPr>
        <w:t>it from exposure to diverse ESP</w:t>
      </w:r>
      <w:r w:rsidRPr="00D007FE">
        <w:rPr>
          <w:rFonts w:cs="Arial"/>
          <w:sz w:val="24"/>
          <w:szCs w:val="24"/>
        </w:rPr>
        <w:t xml:space="preserve"> who speak their native language, share their culture, and work with teachers to ensure their emotional and academic needs are met. </w:t>
      </w:r>
    </w:p>
    <w:p w:rsidR="00BD6EF8" w:rsidRPr="00BD6EF8" w:rsidRDefault="00BD6EF8" w:rsidP="00BD6EF8">
      <w:pPr>
        <w:pStyle w:val="ListParagraph"/>
        <w:rPr>
          <w:sz w:val="24"/>
          <w:szCs w:val="24"/>
        </w:rPr>
      </w:pPr>
    </w:p>
    <w:p w:rsidR="00BD6EF8" w:rsidRPr="00BD6EF8" w:rsidRDefault="00BD6EF8" w:rsidP="00BD6EF8">
      <w:pPr>
        <w:pStyle w:val="ListParagraph"/>
        <w:numPr>
          <w:ilvl w:val="0"/>
          <w:numId w:val="7"/>
        </w:numPr>
        <w:rPr>
          <w:rFonts w:eastAsia="Times New Roman"/>
          <w:sz w:val="24"/>
          <w:szCs w:val="24"/>
        </w:rPr>
      </w:pPr>
      <w:r w:rsidRPr="00BD6EF8">
        <w:rPr>
          <w:rFonts w:eastAsia="Times New Roman"/>
          <w:sz w:val="24"/>
          <w:szCs w:val="24"/>
        </w:rPr>
        <w:t>Paraeducators could be an element in the state report card. For more potential elements (report card) and indicators (accou</w:t>
      </w:r>
      <w:r w:rsidR="00CE6F7D">
        <w:rPr>
          <w:rFonts w:eastAsia="Times New Roman"/>
          <w:sz w:val="24"/>
          <w:szCs w:val="24"/>
        </w:rPr>
        <w:t xml:space="preserve">ntability system) </w:t>
      </w:r>
      <w:r w:rsidRPr="00BD6EF8">
        <w:rPr>
          <w:rFonts w:eastAsia="Times New Roman"/>
          <w:sz w:val="24"/>
          <w:szCs w:val="24"/>
        </w:rPr>
        <w:t>readers</w:t>
      </w:r>
      <w:r w:rsidR="00CE6F7D">
        <w:rPr>
          <w:rFonts w:eastAsia="Times New Roman"/>
          <w:sz w:val="24"/>
          <w:szCs w:val="24"/>
        </w:rPr>
        <w:t xml:space="preserve"> may refer</w:t>
      </w:r>
      <w:r w:rsidRPr="00BD6EF8">
        <w:rPr>
          <w:rFonts w:eastAsia="Times New Roman"/>
          <w:sz w:val="24"/>
          <w:szCs w:val="24"/>
        </w:rPr>
        <w:t xml:space="preserve"> to the Opportunity Dashboard </w:t>
      </w:r>
      <w:hyperlink r:id="rId7" w:history="1">
        <w:r w:rsidRPr="00BD6EF8">
          <w:rPr>
            <w:rStyle w:val="Hyperlink"/>
            <w:rFonts w:eastAsia="Times New Roman"/>
            <w:sz w:val="24"/>
            <w:szCs w:val="24"/>
          </w:rPr>
          <w:t>http://getessaright.org/indicators/opportunity-dashboard-indicator/</w:t>
        </w:r>
      </w:hyperlink>
      <w:r w:rsidRPr="00BD6EF8">
        <w:rPr>
          <w:rFonts w:eastAsia="Times New Roman"/>
          <w:sz w:val="24"/>
          <w:szCs w:val="24"/>
        </w:rPr>
        <w:t> and the GPS Framework </w:t>
      </w:r>
      <w:hyperlink r:id="rId8" w:anchor="6/z" w:history="1">
        <w:r w:rsidRPr="00BD6EF8">
          <w:rPr>
            <w:rStyle w:val="Hyperlink"/>
            <w:rFonts w:eastAsia="Times New Roman"/>
            <w:sz w:val="24"/>
            <w:szCs w:val="24"/>
          </w:rPr>
          <w:t>http://print-this.net/GPS_Indicators_Framework/#6/z</w:t>
        </w:r>
      </w:hyperlink>
    </w:p>
    <w:p w:rsidR="00BD6EF8" w:rsidRPr="00D007FE" w:rsidRDefault="00BD6EF8" w:rsidP="00BD6EF8">
      <w:pPr>
        <w:pStyle w:val="ListParagraph"/>
        <w:spacing w:before="100" w:beforeAutospacing="1" w:after="100" w:afterAutospacing="1"/>
        <w:rPr>
          <w:sz w:val="24"/>
          <w:szCs w:val="24"/>
        </w:rPr>
      </w:pPr>
    </w:p>
    <w:p w:rsidR="00927A8F" w:rsidRPr="00D007FE" w:rsidRDefault="00927A8F" w:rsidP="00D007FE">
      <w:pPr>
        <w:pStyle w:val="ListParagraph"/>
        <w:rPr>
          <w:sz w:val="24"/>
          <w:szCs w:val="24"/>
        </w:rPr>
      </w:pPr>
    </w:p>
    <w:p w:rsidR="00E86276" w:rsidRPr="009C6B55" w:rsidRDefault="00E86276" w:rsidP="009C6B55">
      <w:pPr>
        <w:rPr>
          <w:sz w:val="24"/>
          <w:szCs w:val="24"/>
        </w:rPr>
      </w:pPr>
    </w:p>
    <w:p w:rsidR="00F25925" w:rsidRPr="00F25925" w:rsidRDefault="00F25925" w:rsidP="00F25925">
      <w:pPr>
        <w:rPr>
          <w:sz w:val="24"/>
          <w:szCs w:val="24"/>
        </w:rPr>
      </w:pPr>
    </w:p>
    <w:p w:rsidR="00053F3F" w:rsidRPr="00053F3F" w:rsidRDefault="00053F3F" w:rsidP="00053F3F">
      <w:pPr>
        <w:ind w:left="1080"/>
        <w:rPr>
          <w:sz w:val="24"/>
          <w:szCs w:val="24"/>
        </w:rPr>
      </w:pPr>
    </w:p>
    <w:sectPr w:rsidR="00053F3F" w:rsidRPr="00053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AE3"/>
    <w:multiLevelType w:val="hybridMultilevel"/>
    <w:tmpl w:val="52001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B3B78"/>
    <w:multiLevelType w:val="hybridMultilevel"/>
    <w:tmpl w:val="33E8A0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1E1E87"/>
    <w:multiLevelType w:val="hybridMultilevel"/>
    <w:tmpl w:val="05C0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63D8A"/>
    <w:multiLevelType w:val="hybridMultilevel"/>
    <w:tmpl w:val="23143C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C52FD5"/>
    <w:multiLevelType w:val="hybridMultilevel"/>
    <w:tmpl w:val="CD98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B558EB"/>
    <w:multiLevelType w:val="hybridMultilevel"/>
    <w:tmpl w:val="148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5F0826"/>
    <w:multiLevelType w:val="hybridMultilevel"/>
    <w:tmpl w:val="B378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16169"/>
    <w:multiLevelType w:val="hybridMultilevel"/>
    <w:tmpl w:val="F532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CFE"/>
    <w:rsid w:val="00053F3F"/>
    <w:rsid w:val="0006337A"/>
    <w:rsid w:val="00064A6D"/>
    <w:rsid w:val="000B1DBD"/>
    <w:rsid w:val="000D29CA"/>
    <w:rsid w:val="000F7D34"/>
    <w:rsid w:val="001376FE"/>
    <w:rsid w:val="00146B6C"/>
    <w:rsid w:val="00196BFE"/>
    <w:rsid w:val="001F1C5F"/>
    <w:rsid w:val="00253776"/>
    <w:rsid w:val="002711B9"/>
    <w:rsid w:val="00274B7A"/>
    <w:rsid w:val="00297D4A"/>
    <w:rsid w:val="002D4743"/>
    <w:rsid w:val="003D1B7E"/>
    <w:rsid w:val="0045156E"/>
    <w:rsid w:val="00481846"/>
    <w:rsid w:val="00484EC8"/>
    <w:rsid w:val="00486B5C"/>
    <w:rsid w:val="004E2453"/>
    <w:rsid w:val="004F6B14"/>
    <w:rsid w:val="00500596"/>
    <w:rsid w:val="005411F6"/>
    <w:rsid w:val="005714F7"/>
    <w:rsid w:val="005A7300"/>
    <w:rsid w:val="0063141C"/>
    <w:rsid w:val="00643454"/>
    <w:rsid w:val="00652A71"/>
    <w:rsid w:val="006A46BD"/>
    <w:rsid w:val="006B00A1"/>
    <w:rsid w:val="006D0EE0"/>
    <w:rsid w:val="006E2C71"/>
    <w:rsid w:val="006F1436"/>
    <w:rsid w:val="006F6167"/>
    <w:rsid w:val="00710F7C"/>
    <w:rsid w:val="007B7417"/>
    <w:rsid w:val="007C0650"/>
    <w:rsid w:val="007D2A0B"/>
    <w:rsid w:val="00890FFC"/>
    <w:rsid w:val="008B2838"/>
    <w:rsid w:val="0090156E"/>
    <w:rsid w:val="00927A8F"/>
    <w:rsid w:val="00955DE9"/>
    <w:rsid w:val="00957F8D"/>
    <w:rsid w:val="009A2112"/>
    <w:rsid w:val="009C02AE"/>
    <w:rsid w:val="009C6B55"/>
    <w:rsid w:val="009D1E35"/>
    <w:rsid w:val="009F1714"/>
    <w:rsid w:val="00AA18EE"/>
    <w:rsid w:val="00AE2EC9"/>
    <w:rsid w:val="00B23FC2"/>
    <w:rsid w:val="00B45AE7"/>
    <w:rsid w:val="00B476BE"/>
    <w:rsid w:val="00B520B4"/>
    <w:rsid w:val="00BD6EF8"/>
    <w:rsid w:val="00C31642"/>
    <w:rsid w:val="00C47183"/>
    <w:rsid w:val="00C810A6"/>
    <w:rsid w:val="00CC1E4F"/>
    <w:rsid w:val="00CD0EC2"/>
    <w:rsid w:val="00CE1BBA"/>
    <w:rsid w:val="00CE3CFE"/>
    <w:rsid w:val="00CE6F7D"/>
    <w:rsid w:val="00D007FE"/>
    <w:rsid w:val="00D83440"/>
    <w:rsid w:val="00DD06FC"/>
    <w:rsid w:val="00DD1EEB"/>
    <w:rsid w:val="00DF77DC"/>
    <w:rsid w:val="00E42301"/>
    <w:rsid w:val="00E45F74"/>
    <w:rsid w:val="00E52147"/>
    <w:rsid w:val="00E84B8F"/>
    <w:rsid w:val="00E86276"/>
    <w:rsid w:val="00EE2367"/>
    <w:rsid w:val="00F25925"/>
    <w:rsid w:val="00F72B22"/>
    <w:rsid w:val="00F752D6"/>
    <w:rsid w:val="00F758D7"/>
    <w:rsid w:val="00F85AF1"/>
    <w:rsid w:val="00FC30F5"/>
    <w:rsid w:val="00FE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F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FE"/>
    <w:pPr>
      <w:ind w:left="720"/>
      <w:contextualSpacing/>
    </w:pPr>
  </w:style>
  <w:style w:type="paragraph" w:styleId="BalloonText">
    <w:name w:val="Balloon Text"/>
    <w:basedOn w:val="Normal"/>
    <w:link w:val="BalloonTextChar"/>
    <w:uiPriority w:val="99"/>
    <w:semiHidden/>
    <w:unhideWhenUsed/>
    <w:rsid w:val="007B7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17"/>
    <w:rPr>
      <w:rFonts w:ascii="Tahoma" w:hAnsi="Tahoma" w:cs="Tahoma"/>
      <w:sz w:val="16"/>
      <w:szCs w:val="16"/>
    </w:rPr>
  </w:style>
  <w:style w:type="character" w:customStyle="1" w:styleId="Heading1Char">
    <w:name w:val="Heading 1 Char"/>
    <w:basedOn w:val="DefaultParagraphFont"/>
    <w:link w:val="Heading1"/>
    <w:uiPriority w:val="9"/>
    <w:rsid w:val="00710F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D6E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F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FE"/>
    <w:pPr>
      <w:ind w:left="720"/>
      <w:contextualSpacing/>
    </w:pPr>
  </w:style>
  <w:style w:type="paragraph" w:styleId="BalloonText">
    <w:name w:val="Balloon Text"/>
    <w:basedOn w:val="Normal"/>
    <w:link w:val="BalloonTextChar"/>
    <w:uiPriority w:val="99"/>
    <w:semiHidden/>
    <w:unhideWhenUsed/>
    <w:rsid w:val="007B7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17"/>
    <w:rPr>
      <w:rFonts w:ascii="Tahoma" w:hAnsi="Tahoma" w:cs="Tahoma"/>
      <w:sz w:val="16"/>
      <w:szCs w:val="16"/>
    </w:rPr>
  </w:style>
  <w:style w:type="character" w:customStyle="1" w:styleId="Heading1Char">
    <w:name w:val="Heading 1 Char"/>
    <w:basedOn w:val="DefaultParagraphFont"/>
    <w:link w:val="Heading1"/>
    <w:uiPriority w:val="9"/>
    <w:rsid w:val="00710F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D6E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14841">
      <w:bodyDiv w:val="1"/>
      <w:marLeft w:val="0"/>
      <w:marRight w:val="0"/>
      <w:marTop w:val="0"/>
      <w:marBottom w:val="0"/>
      <w:divBdr>
        <w:top w:val="none" w:sz="0" w:space="0" w:color="auto"/>
        <w:left w:val="none" w:sz="0" w:space="0" w:color="auto"/>
        <w:bottom w:val="none" w:sz="0" w:space="0" w:color="auto"/>
        <w:right w:val="none" w:sz="0" w:space="0" w:color="auto"/>
      </w:divBdr>
    </w:div>
    <w:div w:id="12523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nt-this.net/GPS_Indicators_Framework/" TargetMode="External"/><Relationship Id="rId3" Type="http://schemas.microsoft.com/office/2007/relationships/stylesWithEffects" Target="stylesWithEffects.xml"/><Relationship Id="rId7" Type="http://schemas.openxmlformats.org/officeDocument/2006/relationships/hyperlink" Target="http://getessaright.org/indicators/opportunity-dashboard-indic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National Education Association</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Barchak, Timothy [NEA]</dc:creator>
  <cp:lastModifiedBy>Gary</cp:lastModifiedBy>
  <cp:revision>2</cp:revision>
  <cp:lastPrinted>2016-08-17T19:28:00Z</cp:lastPrinted>
  <dcterms:created xsi:type="dcterms:W3CDTF">2016-10-31T20:09:00Z</dcterms:created>
  <dcterms:modified xsi:type="dcterms:W3CDTF">2016-10-31T20:09:00Z</dcterms:modified>
</cp:coreProperties>
</file>